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A7" w:rsidRDefault="000D0FA7" w:rsidP="001D771B">
      <w:pPr>
        <w:pStyle w:val="Heading1"/>
        <w:spacing w:after="0"/>
        <w:rPr>
          <w:rFonts w:eastAsia="Arial"/>
        </w:rPr>
      </w:pPr>
      <w:bookmarkStart w:id="0" w:name="_Toc449687247"/>
      <w:bookmarkStart w:id="1" w:name="_GoBack"/>
      <w:bookmarkEnd w:id="1"/>
      <w:r>
        <w:rPr>
          <w:rFonts w:eastAsia="Arial"/>
        </w:rPr>
        <w:t>St Margaret’s CE VA Primary School</w:t>
      </w:r>
      <w:r w:rsidR="008D34F3">
        <w:rPr>
          <w:rFonts w:eastAsia="Arial"/>
        </w:rPr>
        <w:t xml:space="preserve"> </w:t>
      </w:r>
      <w:r>
        <w:rPr>
          <w:rFonts w:eastAsia="Arial"/>
        </w:rPr>
        <w:t>Pupil Premium Strategy S</w:t>
      </w:r>
      <w:r w:rsidRPr="004E0F5B">
        <w:rPr>
          <w:rFonts w:eastAsia="Arial"/>
        </w:rPr>
        <w:t xml:space="preserve">tatement </w:t>
      </w:r>
      <w:bookmarkEnd w:id="0"/>
      <w:r w:rsidR="00CD11DD">
        <w:rPr>
          <w:rFonts w:eastAsia="Arial"/>
        </w:rPr>
        <w:t>20</w:t>
      </w:r>
      <w:r w:rsidR="00210671">
        <w:rPr>
          <w:rFonts w:eastAsia="Arial"/>
        </w:rPr>
        <w:t>20</w:t>
      </w:r>
      <w:r w:rsidR="00CD11DD">
        <w:rPr>
          <w:rFonts w:eastAsia="Arial"/>
        </w:rPr>
        <w:t>-20</w:t>
      </w:r>
      <w:r w:rsidR="00720C67">
        <w:rPr>
          <w:rFonts w:eastAsia="Arial"/>
        </w:rPr>
        <w:t>2</w:t>
      </w:r>
      <w:r w:rsidR="00210671">
        <w:rPr>
          <w:rFonts w:eastAsia="Arial"/>
        </w:rPr>
        <w:t>1</w:t>
      </w:r>
    </w:p>
    <w:tbl>
      <w:tblPr>
        <w:tblStyle w:val="TableGrid"/>
        <w:tblpPr w:leftFromText="180" w:rightFromText="180" w:vertAnchor="text" w:tblpX="-714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3681"/>
        <w:gridCol w:w="1701"/>
        <w:gridCol w:w="3544"/>
        <w:gridCol w:w="1598"/>
        <w:gridCol w:w="2938"/>
        <w:gridCol w:w="1984"/>
      </w:tblGrid>
      <w:tr w:rsidR="000D0FA7" w:rsidRPr="00326C32" w:rsidTr="005C0491">
        <w:trPr>
          <w:trHeight w:hRule="exact" w:val="382"/>
        </w:trPr>
        <w:tc>
          <w:tcPr>
            <w:tcW w:w="1544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0D0FA7" w:rsidRPr="00326C32" w:rsidTr="005C0491">
        <w:trPr>
          <w:trHeight w:hRule="exact" w:val="382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10671">
              <w:rPr>
                <w:rFonts w:cs="Arial"/>
              </w:rPr>
              <w:t>20</w:t>
            </w:r>
            <w:r>
              <w:rPr>
                <w:rFonts w:cs="Arial"/>
              </w:rPr>
              <w:t>/20</w:t>
            </w:r>
            <w:r w:rsidR="00720C67">
              <w:rPr>
                <w:rFonts w:cs="Arial"/>
              </w:rPr>
              <w:t>2</w:t>
            </w:r>
            <w:r w:rsidR="00210671">
              <w:rPr>
                <w:rFonts w:cs="Arial"/>
              </w:rPr>
              <w:t>1</w:t>
            </w:r>
          </w:p>
        </w:tc>
        <w:tc>
          <w:tcPr>
            <w:tcW w:w="3544" w:type="dxa"/>
          </w:tcPr>
          <w:p w:rsidR="000D0FA7" w:rsidRPr="00326C32" w:rsidRDefault="000D0FA7" w:rsidP="005C0491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598" w:type="dxa"/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720C67">
              <w:rPr>
                <w:rFonts w:cs="Arial"/>
              </w:rPr>
              <w:t>2</w:t>
            </w:r>
            <w:r w:rsidR="00210671">
              <w:rPr>
                <w:rFonts w:cs="Arial"/>
              </w:rPr>
              <w:t>2</w:t>
            </w:r>
            <w:r w:rsidR="00E65403">
              <w:rPr>
                <w:rFonts w:cs="Arial"/>
              </w:rPr>
              <w:t>,</w:t>
            </w:r>
            <w:r w:rsidR="00210671">
              <w:rPr>
                <w:rFonts w:cs="Arial"/>
              </w:rPr>
              <w:t>520</w:t>
            </w:r>
          </w:p>
        </w:tc>
        <w:tc>
          <w:tcPr>
            <w:tcW w:w="2938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</w:tr>
      <w:tr w:rsidR="000D0FA7" w:rsidRPr="00326C32" w:rsidTr="005C0491">
        <w:trPr>
          <w:trHeight w:val="690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E65403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80B21">
              <w:rPr>
                <w:rFonts w:cs="Arial"/>
              </w:rPr>
              <w:t>2</w:t>
            </w:r>
            <w:r w:rsidR="00720C67">
              <w:rPr>
                <w:rFonts w:cs="Arial"/>
              </w:rPr>
              <w:t>3</w:t>
            </w:r>
            <w:r w:rsidR="00210671">
              <w:rPr>
                <w:rFonts w:cs="Arial"/>
              </w:rPr>
              <w:t>5</w:t>
            </w:r>
          </w:p>
        </w:tc>
        <w:tc>
          <w:tcPr>
            <w:tcW w:w="3544" w:type="dxa"/>
          </w:tcPr>
          <w:p w:rsidR="000D0FA7" w:rsidRDefault="000D0FA7" w:rsidP="005C0491">
            <w:pPr>
              <w:contextualSpacing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Number of pupils eligible for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PP</w:t>
            </w:r>
          </w:p>
        </w:tc>
        <w:tc>
          <w:tcPr>
            <w:tcW w:w="1598" w:type="dxa"/>
          </w:tcPr>
          <w:p w:rsidR="000D0FA7" w:rsidRPr="00326C32" w:rsidRDefault="00210671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 plus 1 Post LAC</w:t>
            </w:r>
          </w:p>
        </w:tc>
        <w:tc>
          <w:tcPr>
            <w:tcW w:w="2938" w:type="dxa"/>
          </w:tcPr>
          <w:p w:rsidR="000D0FA7" w:rsidRDefault="000D0FA7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Funding Per pupil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Default="001D771B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£1,320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</w:tr>
    </w:tbl>
    <w:p w:rsidR="000D0FA7" w:rsidRPr="00531CFD" w:rsidRDefault="008D34F3" w:rsidP="000D0FA7">
      <w:pPr>
        <w:spacing w:after="0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br w:type="textWrapping" w:clear="all"/>
      </w:r>
    </w:p>
    <w:tbl>
      <w:tblPr>
        <w:tblStyle w:val="TableGrid"/>
        <w:tblpPr w:leftFromText="180" w:rightFromText="180" w:vertAnchor="text" w:tblpX="-714" w:tblpY="1"/>
        <w:tblOverlap w:val="never"/>
        <w:tblW w:w="15443" w:type="dxa"/>
        <w:tblLook w:val="04A0" w:firstRow="1" w:lastRow="0" w:firstColumn="1" w:lastColumn="0" w:noHBand="0" w:noVBand="1"/>
      </w:tblPr>
      <w:tblGrid>
        <w:gridCol w:w="1413"/>
        <w:gridCol w:w="283"/>
        <w:gridCol w:w="9072"/>
        <w:gridCol w:w="4675"/>
      </w:tblGrid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0153BD" w:rsidRPr="00326C32" w:rsidTr="005C0491">
        <w:trPr>
          <w:trHeight w:val="762"/>
        </w:trPr>
        <w:tc>
          <w:tcPr>
            <w:tcW w:w="15443" w:type="dxa"/>
            <w:gridSpan w:val="4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See current pupil tracking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  <w:r w:rsidRPr="00206BF3">
              <w:rPr>
                <w:rFonts w:cs="Arial"/>
                <w:b/>
              </w:rPr>
              <w:t>Barriers to future attainment (for pupils eligible for PP, including high ability pupils)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0153BD" w:rsidRPr="00326C32" w:rsidTr="005C0491">
        <w:trPr>
          <w:trHeight w:val="58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Pr="00FB4FCC" w:rsidRDefault="00971F4A" w:rsidP="005C04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Often pupils less resilient compared to their peers.</w:t>
            </w:r>
          </w:p>
        </w:tc>
      </w:tr>
      <w:tr w:rsidR="000153BD" w:rsidRPr="00326C32" w:rsidTr="005C0491">
        <w:trPr>
          <w:trHeight w:val="517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Pr="00FB4FCC" w:rsidRDefault="00210671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stay focused</w:t>
            </w:r>
            <w:r w:rsidR="00000F6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especially for long periods of time,</w:t>
            </w:r>
            <w:r w:rsidR="00000F6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learning stamina reduced, </w:t>
            </w:r>
            <w:r w:rsidR="00000F6A">
              <w:rPr>
                <w:rFonts w:cs="Arial"/>
                <w:sz w:val="20"/>
                <w:szCs w:val="20"/>
              </w:rPr>
              <w:t>positive learning behaviours</w:t>
            </w:r>
          </w:p>
        </w:tc>
      </w:tr>
      <w:tr w:rsidR="00000F6A" w:rsidRPr="00326C32" w:rsidTr="005C0491">
        <w:trPr>
          <w:trHeight w:val="34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030" w:type="dxa"/>
            <w:gridSpan w:val="3"/>
          </w:tcPr>
          <w:p w:rsidR="00000F6A" w:rsidRDefault="00210671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Poor self- esteem and self -belief they can do something well achieve well. The confidence to believe in themselves.</w:t>
            </w:r>
          </w:p>
          <w:p w:rsidR="00C7613B" w:rsidRDefault="00C7613B" w:rsidP="00000F6A">
            <w:pPr>
              <w:rPr>
                <w:rFonts w:cs="Arial"/>
                <w:sz w:val="20"/>
                <w:szCs w:val="20"/>
              </w:rPr>
            </w:pPr>
          </w:p>
          <w:p w:rsidR="00C7613B" w:rsidRPr="00FB4FCC" w:rsidRDefault="00C7613B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External barriers </w:t>
            </w:r>
            <w:r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000F6A" w:rsidRPr="00326C32" w:rsidTr="005C0491">
        <w:trPr>
          <w:trHeight w:val="551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030" w:type="dxa"/>
            <w:gridSpan w:val="3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Parents lack of </w:t>
            </w:r>
            <w:r>
              <w:rPr>
                <w:rFonts w:cs="Arial"/>
                <w:sz w:val="20"/>
                <w:szCs w:val="20"/>
              </w:rPr>
              <w:t xml:space="preserve">consistent </w:t>
            </w:r>
            <w:r w:rsidRPr="00FB4FCC">
              <w:rPr>
                <w:rFonts w:cs="Arial"/>
                <w:sz w:val="20"/>
                <w:szCs w:val="20"/>
              </w:rPr>
              <w:t>support in home</w:t>
            </w:r>
            <w:r>
              <w:rPr>
                <w:rFonts w:cs="Arial"/>
                <w:sz w:val="20"/>
                <w:szCs w:val="20"/>
              </w:rPr>
              <w:t xml:space="preserve"> learning especially in English, Maths and other curriculum projects. This is particularly evident as pupils move into Key Stage 2</w:t>
            </w:r>
            <w:r w:rsidR="00971F4A">
              <w:rPr>
                <w:rFonts w:cs="Arial"/>
                <w:sz w:val="20"/>
                <w:szCs w:val="20"/>
              </w:rPr>
              <w:t>. Particularly evident in writing and maths strategies.</w:t>
            </w:r>
          </w:p>
          <w:p w:rsidR="00000F6A" w:rsidRPr="00FB4FCC" w:rsidRDefault="00971F4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Some children not regularly complete Home Learning – due to no support at home, no time given to complete tasks</w:t>
            </w:r>
          </w:p>
        </w:tc>
      </w:tr>
      <w:tr w:rsidR="00000F6A" w:rsidRPr="00326C32" w:rsidTr="005C0491">
        <w:trPr>
          <w:trHeight w:val="506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</w:t>
            </w: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more home learning is online based some pupils do not have access to a computer or appropriate internet device.</w:t>
            </w:r>
            <w:r w:rsidR="00971F4A">
              <w:rPr>
                <w:rFonts w:cs="Arial"/>
                <w:sz w:val="20"/>
                <w:szCs w:val="20"/>
              </w:rPr>
              <w:t xml:space="preserve"> Especially with the Remote Learning in Lockdown and isolation periods.</w:t>
            </w:r>
          </w:p>
        </w:tc>
      </w:tr>
      <w:tr w:rsidR="00000F6A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14030" w:type="dxa"/>
            <w:gridSpan w:val="3"/>
          </w:tcPr>
          <w:p w:rsidR="00000F6A" w:rsidRPr="00FB4FCC" w:rsidRDefault="00971F4A" w:rsidP="00971F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Inconsistent</w:t>
            </w:r>
            <w:r w:rsidRPr="00FB4FCC">
              <w:rPr>
                <w:rFonts w:cs="Arial"/>
                <w:sz w:val="20"/>
                <w:szCs w:val="20"/>
              </w:rPr>
              <w:t xml:space="preserve"> attendance so missing learning </w:t>
            </w:r>
            <w:r>
              <w:rPr>
                <w:rFonts w:cs="Arial"/>
                <w:sz w:val="20"/>
                <w:szCs w:val="20"/>
              </w:rPr>
              <w:t xml:space="preserve">resulting in gaps in core skills and knowledge </w:t>
            </w:r>
            <w:r w:rsidRPr="00FB4FCC">
              <w:rPr>
                <w:rFonts w:cs="Arial"/>
                <w:sz w:val="20"/>
                <w:szCs w:val="20"/>
              </w:rPr>
              <w:t xml:space="preserve">particularly </w:t>
            </w:r>
            <w:r>
              <w:rPr>
                <w:rFonts w:cs="Arial"/>
                <w:sz w:val="20"/>
                <w:szCs w:val="20"/>
              </w:rPr>
              <w:t>in Maths and English. Therefore, deeper learning and the ability to apply skills in a different context is difficult to achieve.</w:t>
            </w:r>
          </w:p>
        </w:tc>
      </w:tr>
      <w:tr w:rsidR="00000F6A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0768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i/>
              </w:rPr>
            </w:pPr>
            <w:r>
              <w:rPr>
                <w:rFonts w:cs="Arial"/>
                <w:b/>
              </w:rPr>
              <w:t>4.</w:t>
            </w:r>
            <w:r w:rsidRPr="00620880">
              <w:rPr>
                <w:rFonts w:cs="Arial"/>
                <w:b/>
              </w:rPr>
              <w:t xml:space="preserve">Desired outcomes </w:t>
            </w:r>
            <w:r w:rsidRPr="00620880">
              <w:rPr>
                <w:rFonts w:cs="Arial"/>
                <w:i/>
              </w:rPr>
              <w:t>(Desired outcomes and how they will be measured)</w:t>
            </w:r>
          </w:p>
          <w:p w:rsidR="00000F6A" w:rsidRPr="00620880" w:rsidRDefault="00000F6A" w:rsidP="00000F6A">
            <w:pPr>
              <w:rPr>
                <w:rFonts w:cs="Arial"/>
                <w:b/>
              </w:rPr>
            </w:pPr>
          </w:p>
        </w:tc>
        <w:tc>
          <w:tcPr>
            <w:tcW w:w="4675" w:type="dxa"/>
            <w:shd w:val="clear" w:color="auto" w:fill="CFDCE3"/>
          </w:tcPr>
          <w:p w:rsidR="00000F6A" w:rsidRPr="00326C32" w:rsidRDefault="00000F6A" w:rsidP="00000F6A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000F6A" w:rsidRPr="00326C32" w:rsidTr="005C0491">
        <w:trPr>
          <w:trHeight w:val="110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Improved progress and attainment for all Pupil Premium children</w:t>
            </w:r>
            <w:r>
              <w:rPr>
                <w:rFonts w:cs="Arial"/>
                <w:sz w:val="20"/>
                <w:szCs w:val="20"/>
              </w:rPr>
              <w:t xml:space="preserve"> especially in </w:t>
            </w:r>
            <w:r w:rsidR="00971F4A">
              <w:rPr>
                <w:rFonts w:cs="Arial"/>
                <w:sz w:val="20"/>
                <w:szCs w:val="20"/>
              </w:rPr>
              <w:t>Reading, Writing, Spelling and Grammar, recall of multiplication facts, maths computation and problem solving.</w:t>
            </w:r>
          </w:p>
          <w:p w:rsidR="00000F6A" w:rsidRPr="00FB4FCC" w:rsidRDefault="00022AC8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Pupil Premium Pupils individually tracked for Reading, Writing and Maths.</w:t>
            </w:r>
          </w:p>
        </w:tc>
        <w:tc>
          <w:tcPr>
            <w:tcW w:w="4675" w:type="dxa"/>
          </w:tcPr>
          <w:p w:rsidR="00022AC8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PP children of all abilities make good or better progress</w:t>
            </w:r>
            <w:r w:rsidR="00022AC8">
              <w:rPr>
                <w:rFonts w:cs="Arial"/>
                <w:sz w:val="20"/>
                <w:szCs w:val="20"/>
              </w:rPr>
              <w:t xml:space="preserve"> in Reading, Writing and Maths</w:t>
            </w:r>
            <w:r w:rsidRPr="00FB4FCC">
              <w:rPr>
                <w:rFonts w:cs="Arial"/>
                <w:sz w:val="20"/>
                <w:szCs w:val="20"/>
              </w:rPr>
              <w:t>.</w:t>
            </w:r>
          </w:p>
          <w:p w:rsidR="00022AC8" w:rsidRDefault="00022AC8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Succeed in recall of Multiplication Facts using TTRS. Less seconds in recall. Track over time.</w:t>
            </w:r>
          </w:p>
          <w:p w:rsidR="00000F6A" w:rsidRPr="00022AC8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lastRenderedPageBreak/>
              <w:t xml:space="preserve"> Learning gaps are addressed</w:t>
            </w:r>
            <w:r>
              <w:rPr>
                <w:rFonts w:cs="Arial"/>
              </w:rPr>
              <w:t xml:space="preserve">. </w:t>
            </w:r>
            <w:r w:rsidRPr="00FB4FCC">
              <w:rPr>
                <w:rFonts w:cs="Arial"/>
                <w:sz w:val="20"/>
                <w:szCs w:val="20"/>
              </w:rPr>
              <w:t>All teaching is good or better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000F6A" w:rsidRPr="00326C32" w:rsidTr="005C0491">
        <w:trPr>
          <w:trHeight w:val="1343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Enable parents to support their child effectively and provide support in home learning opportunities.</w:t>
            </w:r>
          </w:p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Parents to be confident in supporting their child in the end of Key Stage  Assessments.</w:t>
            </w:r>
          </w:p>
        </w:tc>
        <w:tc>
          <w:tcPr>
            <w:tcW w:w="4675" w:type="dxa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School provides o</w:t>
            </w:r>
            <w:r w:rsidRPr="000E5023">
              <w:rPr>
                <w:rFonts w:cs="Arial"/>
                <w:sz w:val="20"/>
                <w:szCs w:val="20"/>
              </w:rPr>
              <w:t>pportunities to support parents</w:t>
            </w:r>
            <w:r>
              <w:rPr>
                <w:rFonts w:cs="Arial"/>
                <w:sz w:val="20"/>
                <w:szCs w:val="20"/>
              </w:rPr>
              <w:t>- with knowledge and skills in reading, phonics and maths. Parents informed about the expectations in Maths and English for their child’s year group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 to attend workshops in Maths and Science.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and Y2 parents informed about SAT’s and fully prepared and understand the expectations and preparations.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</w:p>
          <w:p w:rsidR="00000F6A" w:rsidRPr="000E5023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Increase attendance rates for all Pupil Premium children</w:t>
            </w:r>
            <w:r>
              <w:rPr>
                <w:rFonts w:cs="Arial"/>
                <w:sz w:val="20"/>
                <w:szCs w:val="20"/>
              </w:rPr>
              <w:t>. Follow school policy. Extra incentives for these pupils and reward letters sent home</w:t>
            </w:r>
            <w:r w:rsidR="00413389">
              <w:rPr>
                <w:rFonts w:cs="Arial"/>
                <w:sz w:val="20"/>
                <w:szCs w:val="20"/>
              </w:rPr>
              <w:t xml:space="preserve"> especially when attendance has improved</w:t>
            </w:r>
            <w:r>
              <w:rPr>
                <w:rFonts w:cs="Arial"/>
                <w:sz w:val="20"/>
                <w:szCs w:val="20"/>
              </w:rPr>
              <w:t>.</w:t>
            </w:r>
            <w:r w:rsidR="00413389">
              <w:rPr>
                <w:rFonts w:cs="Arial"/>
                <w:sz w:val="20"/>
                <w:szCs w:val="20"/>
              </w:rPr>
              <w:t xml:space="preserve"> Monitor why child is absent and work with families to support.</w:t>
            </w:r>
          </w:p>
        </w:tc>
        <w:tc>
          <w:tcPr>
            <w:tcW w:w="4675" w:type="dxa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Attendance improves to 96%</w:t>
            </w:r>
          </w:p>
          <w:p w:rsidR="00413389" w:rsidRPr="00FB4FCC" w:rsidRDefault="00413389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D0FA7" w:rsidRPr="00326C32" w:rsidRDefault="008D34F3" w:rsidP="00E61D11">
      <w:pPr>
        <w:spacing w:after="0"/>
        <w:jc w:val="right"/>
        <w:rPr>
          <w:rFonts w:cs="Arial"/>
        </w:rPr>
      </w:pPr>
      <w:r>
        <w:rPr>
          <w:rFonts w:cs="Arial"/>
        </w:rPr>
        <w:br w:type="textWrapping" w:clear="all"/>
      </w:r>
    </w:p>
    <w:tbl>
      <w:tblPr>
        <w:tblStyle w:val="TableGrid"/>
        <w:tblpPr w:leftFromText="180" w:rightFromText="180" w:vertAnchor="text" w:tblpX="276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2966"/>
        <w:gridCol w:w="425"/>
        <w:gridCol w:w="1637"/>
        <w:gridCol w:w="3268"/>
        <w:gridCol w:w="3062"/>
        <w:gridCol w:w="1390"/>
        <w:gridCol w:w="2136"/>
      </w:tblGrid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Planned expenditure </w:t>
            </w:r>
          </w:p>
        </w:tc>
      </w:tr>
      <w:tr w:rsidR="000D0FA7" w:rsidRPr="00326C32" w:rsidTr="0008438C">
        <w:trPr>
          <w:trHeight w:hRule="exact" w:val="378"/>
        </w:trPr>
        <w:tc>
          <w:tcPr>
            <w:tcW w:w="339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493" w:type="dxa"/>
            <w:gridSpan w:val="5"/>
            <w:shd w:val="clear" w:color="auto" w:fill="auto"/>
          </w:tcPr>
          <w:p w:rsidR="000D0FA7" w:rsidRPr="00326C32" w:rsidRDefault="00B67759" w:rsidP="0008438C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022AC8">
              <w:rPr>
                <w:rFonts w:cs="Arial"/>
                <w:b/>
              </w:rPr>
              <w:t>20</w:t>
            </w:r>
            <w:r>
              <w:rPr>
                <w:rFonts w:cs="Arial"/>
                <w:b/>
              </w:rPr>
              <w:t xml:space="preserve"> -20</w:t>
            </w:r>
            <w:r w:rsidR="00413389">
              <w:rPr>
                <w:rFonts w:cs="Arial"/>
                <w:b/>
              </w:rPr>
              <w:t>2</w:t>
            </w:r>
            <w:r w:rsidR="00022AC8">
              <w:rPr>
                <w:rFonts w:cs="Arial"/>
                <w:b/>
              </w:rPr>
              <w:t>1</w:t>
            </w:r>
          </w:p>
        </w:tc>
      </w:tr>
      <w:tr w:rsidR="000D0FA7" w:rsidRPr="00326C32" w:rsidTr="0008438C">
        <w:trPr>
          <w:trHeight w:hRule="exact" w:val="795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rPr>
                <w:rFonts w:cs="Arial"/>
              </w:rPr>
            </w:pPr>
            <w:r w:rsidRPr="00326C32">
              <w:rPr>
                <w:rFonts w:cs="Arial"/>
              </w:rPr>
              <w:lastRenderedPageBreak/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0D0FA7" w:rsidRPr="00326C32" w:rsidTr="0008438C">
        <w:trPr>
          <w:trHeight w:hRule="exact" w:val="471"/>
        </w:trPr>
        <w:tc>
          <w:tcPr>
            <w:tcW w:w="14884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  <w:shd w:val="clear" w:color="auto" w:fill="auto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881819">
        <w:trPr>
          <w:trHeight w:hRule="exact" w:val="607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0153BD">
              <w:rPr>
                <w:rFonts w:cs="Arial"/>
                <w:sz w:val="20"/>
                <w:szCs w:val="20"/>
              </w:rPr>
              <w:t>Reading Writing Maths SPAG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 xml:space="preserve">Staff training on </w:t>
            </w:r>
            <w:r>
              <w:rPr>
                <w:rFonts w:cs="Arial"/>
                <w:sz w:val="20"/>
                <w:szCs w:val="20"/>
              </w:rPr>
              <w:t>effective</w:t>
            </w:r>
            <w:r w:rsidR="000043BD">
              <w:rPr>
                <w:rFonts w:cs="Arial"/>
                <w:sz w:val="20"/>
                <w:szCs w:val="20"/>
              </w:rPr>
              <w:t xml:space="preserve"> in class </w:t>
            </w:r>
            <w:r w:rsidR="00B67759">
              <w:rPr>
                <w:rFonts w:cs="Arial"/>
                <w:sz w:val="20"/>
                <w:szCs w:val="20"/>
              </w:rPr>
              <w:t>assessment of pupil</w:t>
            </w:r>
            <w:r w:rsidR="007F095E">
              <w:rPr>
                <w:rFonts w:cs="Arial"/>
                <w:sz w:val="20"/>
                <w:szCs w:val="20"/>
              </w:rPr>
              <w:t>’</w:t>
            </w:r>
            <w:r w:rsidR="00B67759">
              <w:rPr>
                <w:rFonts w:cs="Arial"/>
                <w:sz w:val="20"/>
                <w:szCs w:val="20"/>
              </w:rPr>
              <w:t>s learning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B67759">
              <w:rPr>
                <w:rFonts w:cs="Arial"/>
                <w:sz w:val="20"/>
                <w:szCs w:val="20"/>
              </w:rPr>
              <w:t xml:space="preserve">pupil </w:t>
            </w:r>
            <w:r>
              <w:rPr>
                <w:rFonts w:cs="Arial"/>
                <w:sz w:val="20"/>
                <w:szCs w:val="20"/>
              </w:rPr>
              <w:t>feedback</w:t>
            </w:r>
            <w:r w:rsidR="00B67759">
              <w:rPr>
                <w:rFonts w:cs="Arial"/>
                <w:sz w:val="20"/>
                <w:szCs w:val="20"/>
              </w:rPr>
              <w:t xml:space="preserve"> written and aural.</w:t>
            </w:r>
          </w:p>
          <w:p w:rsidR="007F095E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Marking is effective and focused.</w:t>
            </w:r>
          </w:p>
          <w:p w:rsidR="000153BD" w:rsidRDefault="000153BD" w:rsidP="00881819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training in 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Provision of Mathletics Programme</w:t>
            </w:r>
            <w:r w:rsidR="00F80B21">
              <w:rPr>
                <w:rFonts w:cs="Arial"/>
                <w:sz w:val="20"/>
                <w:szCs w:val="20"/>
              </w:rPr>
              <w:t xml:space="preserve"> Y6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training in </w:t>
            </w:r>
            <w:proofErr w:type="gramStart"/>
            <w:r>
              <w:rPr>
                <w:rFonts w:cs="Arial"/>
                <w:sz w:val="20"/>
                <w:szCs w:val="20"/>
              </w:rPr>
              <w:t>comprehension  strategies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teaching vocab- 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lessons staff quickly identify </w:t>
            </w:r>
            <w:r w:rsidR="000D0FA7" w:rsidRPr="00EF04F8">
              <w:rPr>
                <w:rFonts w:cs="Arial"/>
                <w:sz w:val="20"/>
                <w:szCs w:val="20"/>
              </w:rPr>
              <w:t xml:space="preserve">where pupils are in </w:t>
            </w:r>
            <w:r w:rsidR="000D0FA7">
              <w:rPr>
                <w:rFonts w:cs="Arial"/>
                <w:sz w:val="20"/>
                <w:szCs w:val="20"/>
              </w:rPr>
              <w:t>their learning journey and are</w:t>
            </w:r>
            <w:r>
              <w:rPr>
                <w:rFonts w:cs="Arial"/>
                <w:sz w:val="20"/>
                <w:szCs w:val="20"/>
              </w:rPr>
              <w:t xml:space="preserve"> able to make adjustments to their lessons so pupils learning is embedded. The </w:t>
            </w:r>
            <w:r w:rsidR="000D0FA7">
              <w:rPr>
                <w:rFonts w:cs="Arial"/>
                <w:sz w:val="20"/>
                <w:szCs w:val="20"/>
              </w:rPr>
              <w:t>pace of learning i</w:t>
            </w:r>
            <w:r w:rsidR="00EF6F54">
              <w:rPr>
                <w:rFonts w:cs="Arial"/>
                <w:sz w:val="20"/>
                <w:szCs w:val="20"/>
              </w:rPr>
              <w:t>n</w:t>
            </w:r>
            <w:r w:rsidR="000D0FA7">
              <w:rPr>
                <w:rFonts w:cs="Arial"/>
                <w:sz w:val="20"/>
                <w:szCs w:val="20"/>
              </w:rPr>
              <w:t xml:space="preserve"> lessons is more rapid. EEF tool kit indicates that high quality feedback is effective in improving attainment.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67759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Monitoring of lessons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Pupil Progress Meetings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Learning Looks in books</w:t>
            </w: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Sharing of marking feedback and its impact on learning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  <w:shd w:val="clear" w:color="auto" w:fill="auto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JS</w:t>
            </w:r>
          </w:p>
          <w:p w:rsidR="007F095E" w:rsidRPr="00EF04F8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Maths and English Leads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Termly</w:t>
            </w:r>
            <w:r w:rsidR="00BB79CE">
              <w:rPr>
                <w:rFonts w:cs="Arial"/>
                <w:sz w:val="20"/>
                <w:szCs w:val="20"/>
              </w:rPr>
              <w:t xml:space="preserve"> Reviews</w:t>
            </w:r>
          </w:p>
          <w:p w:rsidR="000D0FA7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</w:t>
            </w:r>
            <w:r w:rsidR="005A1B0B">
              <w:rPr>
                <w:rFonts w:cs="Arial"/>
                <w:sz w:val="20"/>
                <w:szCs w:val="20"/>
              </w:rPr>
              <w:t>1000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SPAG Computer programme £</w:t>
            </w:r>
            <w:r w:rsidR="00881819">
              <w:rPr>
                <w:rFonts w:cs="Arial"/>
                <w:sz w:val="20"/>
                <w:szCs w:val="20"/>
              </w:rPr>
              <w:t>200</w:t>
            </w:r>
          </w:p>
          <w:p w:rsidR="00BB79CE" w:rsidRDefault="00BB79C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Mathletics</w:t>
            </w:r>
            <w:r w:rsidR="00881819">
              <w:rPr>
                <w:rFonts w:cs="Arial"/>
                <w:sz w:val="20"/>
                <w:szCs w:val="20"/>
              </w:rPr>
              <w:t xml:space="preserve"> </w:t>
            </w:r>
          </w:p>
          <w:p w:rsidR="009E1FB1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Programme</w:t>
            </w:r>
            <w:r w:rsidR="00BB79CE">
              <w:rPr>
                <w:rFonts w:cs="Arial"/>
                <w:sz w:val="20"/>
                <w:szCs w:val="20"/>
              </w:rPr>
              <w:t xml:space="preserve"> £</w:t>
            </w:r>
            <w:r w:rsidR="00881819">
              <w:rPr>
                <w:rFonts w:cs="Arial"/>
                <w:sz w:val="20"/>
                <w:szCs w:val="20"/>
              </w:rPr>
              <w:t>350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Reading £</w:t>
            </w:r>
            <w:r w:rsidR="00881819">
              <w:rPr>
                <w:rFonts w:cs="Arial"/>
                <w:sz w:val="20"/>
                <w:szCs w:val="20"/>
              </w:rPr>
              <w:t>650</w:t>
            </w:r>
          </w:p>
          <w:p w:rsidR="00881819" w:rsidRDefault="00881819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TTS £183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Pr="00326C32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5A1B0B">
              <w:rPr>
                <w:rFonts w:cs="Arial"/>
              </w:rPr>
              <w:t>2383</w:t>
            </w:r>
          </w:p>
        </w:tc>
      </w:tr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Targeted support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8438C">
        <w:trPr>
          <w:trHeight w:hRule="exact" w:val="1977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  <w:r w:rsidR="000043BD">
              <w:rPr>
                <w:rFonts w:cs="Arial"/>
                <w:sz w:val="20"/>
                <w:szCs w:val="20"/>
              </w:rPr>
              <w:t>.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Reading skills in KS2.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1:1 termly programme for targeted children with an experienced teacher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Highly focused learning specific to learners needs from lesson teaching</w:t>
            </w:r>
            <w:r>
              <w:rPr>
                <w:rFonts w:cs="Arial"/>
                <w:sz w:val="20"/>
                <w:szCs w:val="20"/>
              </w:rPr>
              <w:t xml:space="preserve"> further embeds knowledge and skills.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EEF evidence indicates this is a very effective approach.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teaching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pupils recording outcomes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753DB8">
              <w:rPr>
                <w:rFonts w:cs="Arial"/>
                <w:sz w:val="20"/>
                <w:szCs w:val="20"/>
              </w:rPr>
              <w:t>Pupil discussions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Subject Leaders</w:t>
            </w:r>
          </w:p>
        </w:tc>
        <w:tc>
          <w:tcPr>
            <w:tcW w:w="2136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</w:t>
            </w:r>
            <w:r w:rsidRPr="000043BD">
              <w:rPr>
                <w:rFonts w:cs="Arial"/>
                <w:sz w:val="20"/>
                <w:szCs w:val="20"/>
              </w:rPr>
              <w:t>ading</w:t>
            </w:r>
            <w:r>
              <w:rPr>
                <w:rFonts w:cs="Arial"/>
                <w:sz w:val="20"/>
                <w:szCs w:val="20"/>
              </w:rPr>
              <w:t xml:space="preserve"> skills in KS2.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Pr="000043BD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Improved concentration/emotional  skills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 group sessions in English/Maths with experienced teacher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Lego Work with LSP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Provide extra support to embed and stretch learning</w:t>
            </w:r>
            <w:r>
              <w:rPr>
                <w:rFonts w:cs="Arial"/>
                <w:sz w:val="20"/>
                <w:szCs w:val="20"/>
              </w:rPr>
              <w:t>.</w:t>
            </w:r>
            <w:r w:rsidRPr="00753DB8">
              <w:rPr>
                <w:rFonts w:cs="Arial"/>
                <w:sz w:val="20"/>
                <w:szCs w:val="20"/>
              </w:rPr>
              <w:t xml:space="preserve"> Small group</w:t>
            </w:r>
            <w:r>
              <w:rPr>
                <w:rFonts w:cs="Arial"/>
                <w:sz w:val="20"/>
                <w:szCs w:val="20"/>
              </w:rPr>
              <w:t xml:space="preserve"> interventions with an experienced teacher has been sho</w:t>
            </w:r>
            <w:r w:rsidR="00DF7C9C">
              <w:rPr>
                <w:rFonts w:cs="Arial"/>
                <w:sz w:val="20"/>
                <w:szCs w:val="20"/>
              </w:rPr>
              <w:t>wn to be effective as evidenced</w:t>
            </w:r>
            <w:r>
              <w:rPr>
                <w:rFonts w:cs="Arial"/>
                <w:sz w:val="20"/>
                <w:szCs w:val="20"/>
              </w:rPr>
              <w:t xml:space="preserve"> in Visible Learning by John Hattie and EEF Toolkit</w:t>
            </w:r>
          </w:p>
          <w:p w:rsidR="00DF7C9C" w:rsidRPr="00753DB8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Previously used in school with small groups resulting in very positive outcomes- more confident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Combined 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Pr="00753DB8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8E3438">
              <w:rPr>
                <w:rFonts w:cs="Arial"/>
                <w:sz w:val="20"/>
                <w:szCs w:val="20"/>
              </w:rPr>
              <w:t>19287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improve writing skills at the end of KS1 and start of lower KS2.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Pr="00652902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target writing PPY</w:t>
            </w:r>
            <w:r w:rsidR="005A1B0B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</w:t>
            </w:r>
            <w:r>
              <w:rPr>
                <w:rFonts w:cs="Arial"/>
                <w:sz w:val="20"/>
                <w:szCs w:val="20"/>
              </w:rPr>
              <w:t xml:space="preserve"> group sessions</w:t>
            </w:r>
            <w:r w:rsidRPr="00753DB8">
              <w:rPr>
                <w:rFonts w:cs="Arial"/>
                <w:sz w:val="20"/>
                <w:szCs w:val="20"/>
              </w:rPr>
              <w:t xml:space="preserve"> with experienced teacher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  <w:r w:rsidR="000043BD">
              <w:rPr>
                <w:rFonts w:cs="Arial"/>
                <w:sz w:val="20"/>
                <w:szCs w:val="20"/>
              </w:rPr>
              <w:t>Provide extra support to embed punctuation, sentence structure and grammar.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writing in pupil books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Assessments the end of each term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Track Pupil Premium pupils</w:t>
            </w:r>
          </w:p>
          <w:p w:rsidR="000043BD" w:rsidRPr="00652902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90" w:type="dxa"/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Leadership 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</w:t>
            </w:r>
          </w:p>
        </w:tc>
        <w:tc>
          <w:tcPr>
            <w:tcW w:w="2136" w:type="dxa"/>
          </w:tcPr>
          <w:p w:rsidR="000D0FA7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CA3435">
        <w:trPr>
          <w:trHeight w:hRule="exact" w:val="1201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8E3438">
              <w:rPr>
                <w:rFonts w:cs="Arial"/>
              </w:rPr>
              <w:t>19</w:t>
            </w:r>
            <w:r w:rsidR="001C047C">
              <w:rPr>
                <w:rFonts w:cs="Arial"/>
              </w:rPr>
              <w:t>,</w:t>
            </w:r>
            <w:r w:rsidR="008E3438">
              <w:rPr>
                <w:rFonts w:cs="Arial"/>
              </w:rPr>
              <w:t>287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</w:tr>
      <w:tr w:rsidR="000D0FA7" w:rsidRPr="00326C32" w:rsidTr="0008438C">
        <w:trPr>
          <w:trHeight w:hRule="exact" w:val="2766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Other approaches</w:t>
            </w:r>
          </w:p>
        </w:tc>
      </w:tr>
      <w:tr w:rsidR="000D0FA7" w:rsidRPr="000D0FA7" w:rsidTr="0008438C">
        <w:trPr>
          <w:trHeight w:hRule="exact" w:val="85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0FA7">
              <w:rPr>
                <w:rFonts w:cs="Arial"/>
                <w:b/>
                <w:sz w:val="20"/>
                <w:szCs w:val="20"/>
              </w:rPr>
              <w:t>When will you review implementation?</w:t>
            </w:r>
          </w:p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753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Increased attendance rates</w:t>
            </w:r>
            <w:r>
              <w:rPr>
                <w:rFonts w:cs="Arial"/>
                <w:sz w:val="20"/>
                <w:szCs w:val="20"/>
              </w:rPr>
              <w:t xml:space="preserve"> to 96%</w:t>
            </w:r>
          </w:p>
          <w:p w:rsidR="000D0FA7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0D0FA7">
              <w:rPr>
                <w:rFonts w:cs="Arial"/>
                <w:sz w:val="20"/>
                <w:szCs w:val="20"/>
              </w:rPr>
              <w:t>mprove lateness.</w:t>
            </w: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Pr="00101AD2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Admin staff follow up absence and report to Deputy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Referrals made</w:t>
            </w:r>
            <w:r w:rsidR="00655A42">
              <w:rPr>
                <w:rFonts w:cs="Arial"/>
                <w:sz w:val="20"/>
                <w:szCs w:val="20"/>
              </w:rPr>
              <w:t xml:space="preserve"> by Deputy </w:t>
            </w:r>
            <w:r>
              <w:rPr>
                <w:rFonts w:cs="Arial"/>
                <w:sz w:val="20"/>
                <w:szCs w:val="20"/>
              </w:rPr>
              <w:t>to Attendance and Prosecution Officer</w:t>
            </w:r>
            <w:r w:rsidR="00655A42">
              <w:rPr>
                <w:rFonts w:cs="Arial"/>
                <w:sz w:val="20"/>
                <w:szCs w:val="20"/>
              </w:rPr>
              <w:t xml:space="preserve"> </w:t>
            </w:r>
          </w:p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pupil attendance to PP Progress Summary Sheet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Pupils need to be in school every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1AD2">
              <w:rPr>
                <w:rFonts w:cs="Arial"/>
                <w:sz w:val="20"/>
                <w:szCs w:val="20"/>
              </w:rPr>
              <w:t xml:space="preserve">day </w:t>
            </w:r>
            <w:r>
              <w:rPr>
                <w:rFonts w:cs="Arial"/>
                <w:sz w:val="20"/>
                <w:szCs w:val="20"/>
              </w:rPr>
              <w:t xml:space="preserve">and on time </w:t>
            </w:r>
            <w:r w:rsidRPr="00101AD2">
              <w:rPr>
                <w:rFonts w:cs="Arial"/>
                <w:sz w:val="20"/>
                <w:szCs w:val="20"/>
              </w:rPr>
              <w:t>if they are to embed learning and make progress</w:t>
            </w:r>
            <w:r>
              <w:rPr>
                <w:rFonts w:cs="Arial"/>
                <w:sz w:val="20"/>
                <w:szCs w:val="20"/>
              </w:rPr>
              <w:t>. This is evident from NFER school leaders document</w:t>
            </w: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Pr="00101AD2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Work with admin staff and Deputy who will be aware of PP absences.</w:t>
            </w: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the absences and lateness each week.</w:t>
            </w:r>
          </w:p>
        </w:tc>
        <w:tc>
          <w:tcPr>
            <w:tcW w:w="1390" w:type="dxa"/>
          </w:tcPr>
          <w:p w:rsidR="000D0FA7" w:rsidRPr="00101AD2" w:rsidRDefault="000D0FA7" w:rsidP="000843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NL</w:t>
            </w:r>
          </w:p>
          <w:p w:rsidR="000D0FA7" w:rsidRPr="00326C32" w:rsidRDefault="000D0FA7" w:rsidP="0008438C">
            <w:pPr>
              <w:spacing w:after="0"/>
              <w:jc w:val="center"/>
              <w:rPr>
                <w:rFonts w:cs="Arial"/>
              </w:rPr>
            </w:pPr>
            <w:r w:rsidRPr="00101AD2">
              <w:rPr>
                <w:rFonts w:cs="Arial"/>
                <w:sz w:val="20"/>
                <w:szCs w:val="20"/>
              </w:rPr>
              <w:t>SJ Deputy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End of each half term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0D0FA7" w:rsidRPr="00326C32" w:rsidTr="0008438C">
        <w:trPr>
          <w:trHeight w:hRule="exact" w:val="1919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To develop the love, desire and motivation for learning which extends beyond the classroom and into each pupil’s life journey.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To give opportunities for pupils to access extra music</w:t>
            </w:r>
            <w:r>
              <w:rPr>
                <w:rFonts w:cs="Arial"/>
              </w:rPr>
              <w:t xml:space="preserve"> </w:t>
            </w:r>
            <w:r w:rsidRPr="00915637">
              <w:rPr>
                <w:rFonts w:cs="Arial"/>
                <w:sz w:val="20"/>
                <w:szCs w:val="20"/>
              </w:rPr>
              <w:t>provision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improve </w:t>
            </w:r>
            <w:r w:rsidR="00655A42">
              <w:rPr>
                <w:rFonts w:cs="Arial"/>
                <w:sz w:val="20"/>
                <w:szCs w:val="20"/>
              </w:rPr>
              <w:t xml:space="preserve">pupil’s </w:t>
            </w:r>
            <w:r>
              <w:rPr>
                <w:rFonts w:cs="Arial"/>
                <w:sz w:val="20"/>
                <w:szCs w:val="20"/>
              </w:rPr>
              <w:t>musical skills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widen and enrich</w:t>
            </w:r>
            <w:r w:rsidR="00655A42">
              <w:rPr>
                <w:rFonts w:cs="Arial"/>
                <w:sz w:val="20"/>
                <w:szCs w:val="20"/>
              </w:rPr>
              <w:t xml:space="preserve"> pupil’s </w:t>
            </w:r>
            <w:r>
              <w:rPr>
                <w:rFonts w:cs="Arial"/>
                <w:sz w:val="20"/>
                <w:szCs w:val="20"/>
              </w:rPr>
              <w:t>learning</w:t>
            </w:r>
            <w:r w:rsidR="00655A42">
              <w:rPr>
                <w:rFonts w:cs="Arial"/>
                <w:sz w:val="20"/>
                <w:szCs w:val="20"/>
              </w:rPr>
              <w:t xml:space="preserve"> experiences.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music lessons for the year.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Enriching and broadening the curriculum opportunities for pupils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Providing pupils with a variety of different experiences to stimulate learning and provide aspiration.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Music Leader to monitor auditions and attendance of lessons.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Monitoring performance by End of Year Concert.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Reports from Music teacher.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music exams taken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915637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WL</w:t>
            </w:r>
          </w:p>
        </w:tc>
        <w:tc>
          <w:tcPr>
            <w:tcW w:w="2136" w:type="dxa"/>
          </w:tcPr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Termly</w:t>
            </w:r>
          </w:p>
          <w:p w:rsidR="000D0FA7" w:rsidRPr="00915637" w:rsidRDefault="00F80B21" w:rsidP="0008438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Cost £90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Per year</w:t>
            </w:r>
          </w:p>
          <w:p w:rsidR="000D0FA7" w:rsidRPr="00326C32" w:rsidRDefault="00CA1D72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£</w:t>
            </w:r>
            <w:r w:rsidR="00CA3435">
              <w:rPr>
                <w:rFonts w:cs="Arial"/>
                <w:sz w:val="22"/>
                <w:szCs w:val="22"/>
              </w:rPr>
              <w:t>810</w:t>
            </w:r>
          </w:p>
        </w:tc>
      </w:tr>
      <w:tr w:rsidR="000D0FA7" w:rsidRPr="00326C32" w:rsidTr="0008438C">
        <w:trPr>
          <w:trHeight w:hRule="exact" w:val="291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 xml:space="preserve">To improve </w:t>
            </w:r>
            <w:r>
              <w:rPr>
                <w:rFonts w:cs="Arial"/>
                <w:sz w:val="20"/>
                <w:szCs w:val="20"/>
              </w:rPr>
              <w:t>progress and attainment</w:t>
            </w:r>
            <w:r w:rsidRPr="00FF1F6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 Maths, Science and Sports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offer afterschool clubs in these subjects. To support parents in being able to access this provision.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Professional companies providing this specialised support.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>This support further</w:t>
            </w:r>
            <w:r>
              <w:rPr>
                <w:rFonts w:cs="Arial"/>
                <w:sz w:val="20"/>
                <w:szCs w:val="20"/>
              </w:rPr>
              <w:t xml:space="preserve"> embeds their learning and makes</w:t>
            </w:r>
            <w:r w:rsidRPr="00FF1F67">
              <w:rPr>
                <w:rFonts w:cs="Arial"/>
                <w:sz w:val="20"/>
                <w:szCs w:val="20"/>
              </w:rPr>
              <w:t xml:space="preserve"> it fun and engaging 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Subject Leaders monitor impact and learning.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B75431">
              <w:rPr>
                <w:rFonts w:cs="Arial"/>
                <w:sz w:val="20"/>
                <w:szCs w:val="20"/>
              </w:rPr>
              <w:t>Pupil Discussions about their learning and the difference it made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JS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RB 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SJ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Termly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COST</w:t>
            </w:r>
          </w:p>
          <w:p w:rsidR="000D0FA7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</w:t>
            </w:r>
            <w:r w:rsidR="00CA3435">
              <w:rPr>
                <w:rFonts w:cs="Arial"/>
                <w:sz w:val="20"/>
                <w:szCs w:val="20"/>
              </w:rPr>
              <w:t>7</w:t>
            </w:r>
            <w:r w:rsidR="00D1506E">
              <w:rPr>
                <w:rFonts w:cs="Arial"/>
                <w:sz w:val="20"/>
                <w:szCs w:val="20"/>
              </w:rPr>
              <w:t xml:space="preserve">0 per </w:t>
            </w:r>
            <w:r w:rsidR="00EA0D8C">
              <w:rPr>
                <w:rFonts w:cs="Arial"/>
                <w:sz w:val="20"/>
                <w:szCs w:val="20"/>
              </w:rPr>
              <w:t>pupil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CA3435">
              <w:rPr>
                <w:rFonts w:cs="Arial"/>
                <w:sz w:val="20"/>
                <w:szCs w:val="20"/>
              </w:rPr>
              <w:t>70</w:t>
            </w:r>
            <w:r w:rsidR="00EA0D8C">
              <w:rPr>
                <w:rFonts w:cs="Arial"/>
                <w:sz w:val="20"/>
                <w:szCs w:val="20"/>
              </w:rPr>
              <w:t xml:space="preserve"> for Maths and Science 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CA3435">
              <w:rPr>
                <w:rFonts w:cs="Arial"/>
                <w:sz w:val="20"/>
                <w:szCs w:val="20"/>
              </w:rPr>
              <w:t>100</w:t>
            </w:r>
            <w:r w:rsidR="00EA0D8C">
              <w:rPr>
                <w:rFonts w:cs="Arial"/>
                <w:sz w:val="20"/>
                <w:szCs w:val="20"/>
              </w:rPr>
              <w:t xml:space="preserve"> club</w:t>
            </w:r>
          </w:p>
          <w:p w:rsidR="00EA0D8C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8E3438">
              <w:rPr>
                <w:rFonts w:cs="Arial"/>
                <w:sz w:val="20"/>
                <w:szCs w:val="20"/>
              </w:rPr>
              <w:t>3400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517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lastRenderedPageBreak/>
              <w:t>To improve progress and attainment.</w:t>
            </w:r>
          </w:p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enrich and embed pupil learning experiences.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improve confidence and self -esteem.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develop leadership and team building skills.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provide opportunities for pupils to attend residential visits to Frank Chapman Centre.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Educational Visits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provides pupils with additional new and exciting learning and social 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experiences  which they may not have the opportunity to take part in due to cost.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attitudes and confidence to learning.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 Discussions</w:t>
            </w:r>
          </w:p>
          <w:p w:rsidR="00655A42" w:rsidRPr="00B75431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Feedback from the centres and pupils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DH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 2019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5/6 £20</w:t>
            </w:r>
            <w:r w:rsidR="00CA3435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per pupil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pupilsY5/6 =</w:t>
            </w:r>
            <w:r w:rsidR="00CA3435">
              <w:rPr>
                <w:rFonts w:cs="Arial"/>
                <w:sz w:val="20"/>
                <w:szCs w:val="20"/>
              </w:rPr>
              <w:t xml:space="preserve"> £820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Total cost of </w:t>
            </w:r>
            <w:r w:rsidR="00CA3435">
              <w:rPr>
                <w:rFonts w:cs="Arial"/>
                <w:sz w:val="20"/>
                <w:szCs w:val="20"/>
              </w:rPr>
              <w:t>4</w:t>
            </w:r>
            <w:r w:rsidR="000D0FA7">
              <w:rPr>
                <w:rFonts w:cs="Arial"/>
                <w:sz w:val="20"/>
                <w:szCs w:val="20"/>
              </w:rPr>
              <w:t xml:space="preserve"> pupils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Residential visits £</w:t>
            </w:r>
            <w:r w:rsidR="00CA3435">
              <w:rPr>
                <w:rFonts w:cs="Arial"/>
                <w:sz w:val="20"/>
                <w:szCs w:val="20"/>
              </w:rPr>
              <w:t xml:space="preserve"> 820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Educational Visits £</w:t>
            </w:r>
            <w:r w:rsidR="00CA3435">
              <w:rPr>
                <w:rFonts w:cs="Arial"/>
                <w:sz w:val="20"/>
                <w:szCs w:val="20"/>
              </w:rPr>
              <w:t>2000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 £</w:t>
            </w:r>
            <w:r w:rsidR="00CA3435">
              <w:rPr>
                <w:rFonts w:cs="Arial"/>
                <w:sz w:val="20"/>
                <w:szCs w:val="20"/>
              </w:rPr>
              <w:t>2820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Pr="00326C32" w:rsidRDefault="00EA0D8C" w:rsidP="00084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  <w:r w:rsidR="008E3438">
              <w:rPr>
                <w:rFonts w:cs="Arial"/>
                <w:b/>
              </w:rPr>
              <w:t>7030</w:t>
            </w:r>
          </w:p>
        </w:tc>
      </w:tr>
    </w:tbl>
    <w:p w:rsidR="008D34F3" w:rsidRDefault="008D34F3" w:rsidP="000D0FA7">
      <w:pPr>
        <w:spacing w:after="0"/>
        <w:rPr>
          <w:rFonts w:cs="Arial"/>
        </w:rPr>
      </w:pPr>
    </w:p>
    <w:p w:rsidR="000D0FA7" w:rsidRDefault="008D34F3" w:rsidP="008D34F3">
      <w:pPr>
        <w:tabs>
          <w:tab w:val="center" w:pos="3166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br w:type="textWrapping" w:clear="all"/>
      </w: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B1A8F" w:rsidRDefault="000B1A8F"/>
    <w:sectPr w:rsidR="000B1A8F" w:rsidSect="00CD1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A7"/>
    <w:rsid w:val="00000F6A"/>
    <w:rsid w:val="000043BD"/>
    <w:rsid w:val="000153BD"/>
    <w:rsid w:val="00022AC8"/>
    <w:rsid w:val="0008438C"/>
    <w:rsid w:val="000B1A8F"/>
    <w:rsid w:val="000D0FA7"/>
    <w:rsid w:val="001C047C"/>
    <w:rsid w:val="001D771B"/>
    <w:rsid w:val="00210671"/>
    <w:rsid w:val="002314FD"/>
    <w:rsid w:val="002D7318"/>
    <w:rsid w:val="00413389"/>
    <w:rsid w:val="004E4D02"/>
    <w:rsid w:val="005A1B0B"/>
    <w:rsid w:val="005C0491"/>
    <w:rsid w:val="00655A42"/>
    <w:rsid w:val="00720C67"/>
    <w:rsid w:val="00765829"/>
    <w:rsid w:val="007F095E"/>
    <w:rsid w:val="00881819"/>
    <w:rsid w:val="008D34F3"/>
    <w:rsid w:val="008E3438"/>
    <w:rsid w:val="00971F4A"/>
    <w:rsid w:val="00976932"/>
    <w:rsid w:val="009E1FB1"/>
    <w:rsid w:val="00A95807"/>
    <w:rsid w:val="00B67759"/>
    <w:rsid w:val="00BB79CE"/>
    <w:rsid w:val="00C15B87"/>
    <w:rsid w:val="00C7613B"/>
    <w:rsid w:val="00CA1D72"/>
    <w:rsid w:val="00CA3435"/>
    <w:rsid w:val="00CD11DD"/>
    <w:rsid w:val="00CE7D93"/>
    <w:rsid w:val="00D1506E"/>
    <w:rsid w:val="00DF7C9C"/>
    <w:rsid w:val="00E61D11"/>
    <w:rsid w:val="00E65403"/>
    <w:rsid w:val="00EA0D8C"/>
    <w:rsid w:val="00EF6F54"/>
    <w:rsid w:val="00F009D3"/>
    <w:rsid w:val="00F0599E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C6C2B-A23F-48CD-920A-D07C87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0D0FA7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0FA7"/>
    <w:pPr>
      <w:pageBreakBefore/>
      <w:spacing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FA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0D0FA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0D0F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0D0FA7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8C"/>
    <w:rPr>
      <w:rFonts w:ascii="Segoe UI" w:eastAsia="Times New Roman" w:hAnsi="Segoe UI" w:cs="Segoe UI"/>
      <w:color w:val="0D0D0D" w:themeColor="text1" w:themeTint="F2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2018-09-10T08:16:00Z</cp:lastPrinted>
  <dcterms:created xsi:type="dcterms:W3CDTF">2020-11-26T08:16:00Z</dcterms:created>
  <dcterms:modified xsi:type="dcterms:W3CDTF">2020-11-26T08:16:00Z</dcterms:modified>
</cp:coreProperties>
</file>